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47" w:type="dxa"/>
        <w:tblInd w:w="0" w:type="dxa"/>
        <w:tblLayout w:type="autofit"/>
        <w:tblCellMar>
          <w:top w:w="0" w:type="dxa"/>
          <w:left w:w="108" w:type="dxa"/>
          <w:bottom w:w="0" w:type="dxa"/>
          <w:right w:w="108" w:type="dxa"/>
        </w:tblCellMar>
      </w:tblPr>
      <w:tblGrid>
        <w:gridCol w:w="4503"/>
        <w:gridCol w:w="5244"/>
      </w:tblGrid>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CHI CỤC HÀNG HẢI VN TẠI TP.HCM</w:t>
            </w:r>
          </w:p>
        </w:tc>
        <w:tc>
          <w:tcPr>
            <w:tcW w:w="5244" w:type="dxa"/>
            <w:shd w:val="clear" w:color="auto" w:fill="auto"/>
          </w:tcPr>
          <w:p>
            <w:pPr>
              <w:spacing w:after="0" w:line="36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tc>
      </w:tr>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7.5pt;margin-top:18.3pt;height:0pt;width:130.5pt;z-index:251659264;mso-width-relative:page;mso-height-relative:page;" filled="f" stroked="t" coordsize="21600,21600" o:gfxdata="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8YGpTWAAAACAEAAA8AAAAAAAAAAQAgAAAAIgAAAGRycy9kb3ducmV2LnhtbFBL&#10;AQIUABQAAAAIAIdO4kCGJgSJ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sz w:val="24"/>
                <w:szCs w:val="24"/>
              </w:rPr>
              <w:t>PHÒNG NGHIỆP VỤ HÀNG HẢI</w:t>
            </w:r>
          </w:p>
        </w:tc>
        <w:tc>
          <w:tcPr>
            <w:tcW w:w="5244" w:type="dxa"/>
            <w:shd w:val="clear" w:color="auto" w:fill="auto"/>
          </w:tcPr>
          <w:p>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769620</wp:posOffset>
                      </wp:positionH>
                      <wp:positionV relativeFrom="paragraph">
                        <wp:posOffset>232410</wp:posOffset>
                      </wp:positionV>
                      <wp:extent cx="1657350" cy="0"/>
                      <wp:effectExtent l="7620" t="13335" r="11430" b="5715"/>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0.6pt;margin-top:18.3pt;height:0pt;width:130.5pt;z-index:251660288;mso-width-relative:page;mso-height-relative:page;" filled="f" stroked="t" coordsize="21600,21600" o:gfxdata="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POcm1QAAAAkBAAAPAAAAAAAAAAEAIAAAACIAAABkcnMvZG93bnJldi54bWxQSwEC&#10;FAAUAAAACACHTuJAcHMxCb4BAABzAwAADgAAAAAAAAABACAAAAAkAQAAZHJzL2Uyb0RvYy54bWxQ&#10;SwUGAAAAAAYABgBZAQAAVAUAAAAA&#10;">
                      <v:fill on="f" focussize="0,0"/>
                      <v:stroke color="#000000" joinstyle="round"/>
                      <v:imagedata o:title=""/>
                      <o:lock v:ext="edit" aspectratio="f"/>
                    </v:shape>
                  </w:pict>
                </mc:Fallback>
              </mc:AlternateContent>
            </w:r>
            <w:r>
              <w:rPr>
                <w:rFonts w:ascii="Times New Roman" w:hAnsi="Times New Roman" w:cs="Times New Roman"/>
                <w:b/>
                <w:sz w:val="24"/>
                <w:szCs w:val="24"/>
              </w:rPr>
              <w:t>Độc lập - Tự do - Hạnh phúc</w:t>
            </w:r>
          </w:p>
        </w:tc>
      </w:tr>
    </w:tbl>
    <w:p>
      <w:pPr>
        <w:rPr>
          <w:rFonts w:ascii="Times New Roman" w:hAnsi="Times New Roman" w:cs="Times New Roman"/>
          <w:sz w:val="28"/>
          <w:szCs w:val="28"/>
        </w:rPr>
      </w:pPr>
    </w:p>
    <w:p>
      <w:pPr>
        <w:tabs>
          <w:tab w:val="center" w:pos="1843"/>
          <w:tab w:val="center" w:pos="7371"/>
        </w:tabs>
        <w:spacing w:after="0"/>
        <w:jc w:val="center"/>
        <w:rPr>
          <w:rFonts w:ascii="Times New Roman" w:hAnsi="Times New Roman" w:cs="Times New Roman"/>
          <w:b/>
          <w:sz w:val="28"/>
          <w:szCs w:val="28"/>
        </w:rPr>
      </w:pPr>
      <w:r>
        <w:rPr>
          <w:rFonts w:ascii="Times New Roman" w:hAnsi="Times New Roman" w:cs="Times New Roman"/>
          <w:b/>
          <w:sz w:val="28"/>
          <w:szCs w:val="28"/>
        </w:rPr>
        <w:t>THỦ TỤC</w:t>
      </w:r>
    </w:p>
    <w:p>
      <w:pPr>
        <w:jc w:val="center"/>
        <w:rPr>
          <w:rFonts w:ascii="Times New Roman" w:hAnsi="Times New Roman" w:cs="Times New Roman"/>
          <w:b/>
          <w:sz w:val="28"/>
          <w:szCs w:val="28"/>
        </w:rPr>
      </w:pPr>
      <w:r>
        <w:rPr>
          <w:rFonts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260350</wp:posOffset>
                </wp:positionV>
                <wp:extent cx="1657350" cy="0"/>
                <wp:effectExtent l="0" t="0" r="19050" b="19050"/>
                <wp:wrapNone/>
                <wp:docPr id="3" name="Straight Arrow Connector 3"/>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74.75pt;margin-top:20.5pt;height:0pt;width:130.5pt;z-index:251662336;mso-width-relative:page;mso-height-relative:page;" filled="f" stroked="t" coordsize="21600,21600" o:gfxdata="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4KvMrWAAAACQEAAA8AAAAAAAAAAQAgAAAAIgAAAGRycy9kb3ducmV2LnhtbFBL&#10;AQIUABQAAAAIAIdO4kDrFzhA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sz w:val="28"/>
          <w:szCs w:val="28"/>
        </w:rPr>
        <w:t xml:space="preserve"> Cấp Giấy chứng nhận bảo hiểm BCC</w:t>
      </w:r>
    </w:p>
    <w:p>
      <w:pPr>
        <w:tabs>
          <w:tab w:val="left" w:pos="851"/>
          <w:tab w:val="center" w:pos="7371"/>
        </w:tabs>
        <w:spacing w:after="0" w:line="360" w:lineRule="auto"/>
        <w:rPr>
          <w:rFonts w:ascii="Times New Roman" w:hAnsi="Times New Roman" w:cs="Times New Roman"/>
          <w:sz w:val="24"/>
        </w:rPr>
      </w:pPr>
      <w:r>
        <w:rPr>
          <w:rFonts w:ascii="Times New Roman" w:hAnsi="Times New Roman" w:cs="Times New Roman"/>
          <w:sz w:val="24"/>
        </w:rPr>
        <w:tab/>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1. Trình tự thực hiện: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Nộp hồ sơ TTHC:</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 Chủ tàu gửi hồ sơ đề nghị cấp Giấy chứng nhận bảo hiểm hoặc bảo đảm tài chính về trách nhiệm dân sự đối với tổn thất ô nhiễm dầu nhiên liệu 2011 đến Chi Cục Hàng hải Việt Nam tại Tp.HCM.</w:t>
      </w:r>
    </w:p>
    <w:p>
      <w:pPr>
        <w:shd w:val="clear" w:color="auto" w:fill="FFFFFF"/>
        <w:tabs>
          <w:tab w:val="left" w:pos="4335"/>
        </w:tabs>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Đối tượng được cấp Giấy chứng nhận:</w:t>
      </w:r>
      <w:r>
        <w:rPr>
          <w:rFonts w:ascii="Times New Roman" w:hAnsi="Times New Roman" w:eastAsia="Times New Roman" w:cs="Times New Roman"/>
          <w:color w:val="333333"/>
          <w:sz w:val="24"/>
          <w:szCs w:val="24"/>
        </w:rPr>
        <w:tab/>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Tàu biển Việt Nam có tổng dung tích trên 1000 GT hoạt động tuyến quốc tế;</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Tàu biển Việt Nam có tổng dung tích trên 1000 GT hoạt động tuyến nội địa, tàu biển nước ngoài có tổng dung tích trên 1000 GT sẽ được cấp Giấy chứng nhận nếu chủ tàu có yêu cầu.</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Giải quyết TTHC:</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Trường hợp trực tiếp nộp hồ sơ: Cơ quan đăng ký tàu biển kiểm tra hồ sơ theo quy định, vào sổ hồ sơ và cấp giấy hẹn trả kết quả đúng thời hạn quy định.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Trường hợp nộp hồ sơ trực tiếp, nếu hồ sơ không đầy đủ thì trả lại hồ sơ và hướng dẫn tổ chức, cá nhân hoàn thiện lại hồ sơ theo quy định.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Trường hợp nhận hồ sơ qua hệ thống bưu chính: Cơ quan đăng ký tàu biển kiểm tra hồ sơ theo quy định và vào sổ hồ sơ theo đúng ngày và dấu bưu điện. Ngày vào sổ hồ sơ là căn cứ để tính ngày cấp Giấy chứng nhận theo quy định. Nếu hồ sơ không đầy đủ thì chậm nhất 02 ngày làm việc kể từ ngày nhận được hồ sơ, Cơ quan đăng ký tàu biển thông báo bằng văn bản nêu rõ lý do những nội dung chưa đáp ứng để tổ chức, cá nhân hoàn thiện lại hồ sơ theo quy định.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Trường hợp hồ sơ không đủ điều kiện theo quy định, chậm nhất 03 (ba) ngày làm việc, kể từ ngày nhận hồ sơ, Cơ quan đăng ký tàu biển phải trả lời bằng văn bản và nêu rõ lý do.</w:t>
      </w:r>
    </w:p>
    <w:p>
      <w:pPr>
        <w:shd w:val="clear" w:color="auto" w:fill="FFFFFF"/>
        <w:spacing w:after="0" w:line="360" w:lineRule="auto"/>
        <w:jc w:val="both"/>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 xml:space="preserve">2. Cách thức thực hiện: </w:t>
      </w:r>
      <w:r>
        <w:rPr>
          <w:rFonts w:ascii="Times New Roman" w:hAnsi="Times New Roman" w:eastAsia="Times New Roman" w:cs="Times New Roman"/>
          <w:color w:val="333333"/>
          <w:sz w:val="24"/>
          <w:szCs w:val="24"/>
        </w:rPr>
        <w:t>Nộp hồ sơ trực tiếp hoặc qua hệ thống bưu chính.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3. Thành phần, số lượng hồ sơ:</w:t>
      </w:r>
      <w:r>
        <w:rPr>
          <w:rFonts w:ascii="Times New Roman" w:hAnsi="Times New Roman" w:eastAsia="Times New Roman" w:cs="Times New Roman"/>
          <w:b/>
          <w:color w:val="333333"/>
          <w:sz w:val="24"/>
          <w:szCs w:val="24"/>
        </w:rPr>
        <w:t>Số lượng hồ sơ là 01 bộ.</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Thành phần hồ sơ: </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 Đơn đề nghị của chủ tàu theo mẫu </w:t>
      </w:r>
      <w:r>
        <w:rPr>
          <w:rFonts w:ascii="Times New Roman" w:hAnsi="Times New Roman" w:eastAsia="Times New Roman" w:cs="Times New Roman"/>
          <w:b/>
          <w:color w:val="333333"/>
          <w:sz w:val="24"/>
          <w:szCs w:val="24"/>
        </w:rPr>
        <w:t>(bản chính)</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w:t>
      </w:r>
      <w:r>
        <w:rPr>
          <w:rFonts w:ascii="Times New Roman" w:hAnsi="Times New Roman" w:eastAsia="Times New Roman" w:cs="Times New Roman"/>
          <w:b/>
          <w:color w:val="333333"/>
          <w:sz w:val="24"/>
          <w:szCs w:val="24"/>
        </w:rPr>
        <w:t>Bản chính</w:t>
      </w:r>
      <w:r>
        <w:rPr>
          <w:rFonts w:ascii="Times New Roman" w:hAnsi="Times New Roman" w:eastAsia="Times New Roman" w:cs="Times New Roman"/>
          <w:color w:val="333333"/>
          <w:sz w:val="24"/>
          <w:szCs w:val="24"/>
        </w:rPr>
        <w:t xml:space="preserve"> đơn bảo hiểm hoặc giấy chứng nhận bảo đảm tài chính phù hợp với quy định của Công ước Bunker 2001; trường hợp việc bảo hiểm có tái bảo hiểm thì phải nộp cả bản gốc giấy chứng nhận của tổ chức nhận tái bảo hiểm liên quan.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Trường hợp đơn bảo hiểm hoặc bảo đảm tài chính, giấy chứng nhận tái bảo hiểm</w:t>
      </w:r>
      <w:r>
        <w:rPr>
          <w:rFonts w:ascii="Times New Roman" w:hAnsi="Times New Roman" w:eastAsia="Times New Roman" w:cs="Times New Roman"/>
          <w:b/>
          <w:bCs/>
          <w:color w:val="333333"/>
          <w:sz w:val="24"/>
          <w:szCs w:val="24"/>
        </w:rPr>
        <w:t> </w:t>
      </w:r>
      <w:r>
        <w:rPr>
          <w:rFonts w:ascii="Times New Roman" w:hAnsi="Times New Roman" w:eastAsia="Times New Roman" w:cs="Times New Roman"/>
          <w:color w:val="333333"/>
          <w:sz w:val="24"/>
          <w:szCs w:val="24"/>
        </w:rPr>
        <w:t>về trách nhiệm dân sự của chủ tàu được cấp dưới dạng dữ liệu điện tử, chủ tàu phải cung cấp địa chỉ chính thức, hợp pháp trang thông tin điện tử của tổ chức đã cấp để kiểm tra.</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 </w:t>
      </w:r>
      <w:r>
        <w:rPr>
          <w:rFonts w:ascii="Times New Roman" w:hAnsi="Times New Roman" w:eastAsia="Times New Roman" w:cs="Times New Roman"/>
          <w:b/>
          <w:color w:val="333333"/>
          <w:sz w:val="24"/>
          <w:szCs w:val="24"/>
        </w:rPr>
        <w:t xml:space="preserve">Bản sao </w:t>
      </w:r>
      <w:r>
        <w:rPr>
          <w:rFonts w:ascii="Times New Roman" w:hAnsi="Times New Roman" w:eastAsia="Times New Roman" w:cs="Times New Roman"/>
          <w:color w:val="333333"/>
          <w:sz w:val="24"/>
          <w:szCs w:val="24"/>
        </w:rPr>
        <w:t xml:space="preserve"> Giấy chứng nhận đăng ký tàu biển.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4. Thời hạn giải quyết:</w:t>
      </w:r>
      <w:r>
        <w:rPr>
          <w:rFonts w:ascii="Times New Roman" w:hAnsi="Times New Roman" w:eastAsia="Times New Roman" w:cs="Times New Roman"/>
          <w:color w:val="333333"/>
          <w:sz w:val="24"/>
          <w:szCs w:val="24"/>
        </w:rPr>
        <w:t xml:space="preserve"> Chậm nhất 03 ngày làm việc, kể từ ngày nhận đủ hồ sơ theo quy định.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5. Đối tượng thực hiện TTHC: </w:t>
      </w:r>
      <w:r>
        <w:rPr>
          <w:rFonts w:ascii="Times New Roman" w:hAnsi="Times New Roman" w:eastAsia="Times New Roman" w:cs="Times New Roman"/>
          <w:color w:val="333333"/>
          <w:sz w:val="24"/>
          <w:szCs w:val="24"/>
        </w:rPr>
        <w:t>Tổ chức, cá nhân.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6. Cơ quan thực hiện TTHC:</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Cơ quan trực tiếp thực hiện thủ tục hành chính: Chi Cục Hàng hải Việt Nam tại Tp.HCM</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Cơ quan phối hợp: Không có.</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7. Kết quả của việc thực hiện TTHC: </w:t>
      </w:r>
      <w:r>
        <w:rPr>
          <w:rFonts w:ascii="Times New Roman" w:hAnsi="Times New Roman" w:eastAsia="Times New Roman" w:cs="Times New Roman"/>
          <w:color w:val="333333"/>
          <w:sz w:val="24"/>
          <w:szCs w:val="24"/>
        </w:rPr>
        <w:t>Giấy chứng nhận.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8. Phí, lệ phí:</w:t>
      </w:r>
      <w:r>
        <w:rPr>
          <w:rFonts w:ascii="Times New Roman" w:hAnsi="Times New Roman" w:eastAsia="Times New Roman" w:cs="Times New Roman"/>
          <w:color w:val="333333"/>
          <w:sz w:val="24"/>
          <w:szCs w:val="24"/>
        </w:rPr>
        <w:t> Không có.</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9. Mẫu đơn, mẫu tờ khai hành chính:</w:t>
      </w:r>
      <w:r>
        <w:rPr>
          <w:rFonts w:ascii="Times New Roman" w:hAnsi="Times New Roman" w:eastAsia="Times New Roman" w:cs="Times New Roman"/>
          <w:color w:val="333333"/>
          <w:sz w:val="24"/>
          <w:szCs w:val="24"/>
        </w:rPr>
        <w:t> </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Đơn đề nghị cấp Giấy chứng nhận bảo hiểm hoặc bảo đảm tài chính về trách nhiệm dân sự đối với tổn thất ô nhiễm dầu nhiên liệu.</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10. Yêu cầu, điều kiện thực hiện thủ tục hành chính: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Có đơn bảo hiểm hoặc bảo đảm tài chính về trách nhiệm dân sự đối với tổn thất ô nhiễm dầu nhiên liệu theo quy định của Công ước Bunker 2001.</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11. Căn cứ pháp lý của thủ tục hành chính: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w:t>
      </w:r>
      <w:r>
        <w:rPr>
          <w:rFonts w:ascii="Times New Roman" w:hAnsi="Times New Roman" w:cs="Times New Roman"/>
          <w:sz w:val="24"/>
          <w:szCs w:val="24"/>
        </w:rPr>
        <w:t>Bộ luật Hàng hải Việt Nam năm 2015</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Thông tư số 46/2011/TT-BGTVT ngày 30/6/2011 của Bộ trưởng Bộ Giao thông vận tải quy định về cấp, thu hồi Giấy chứng nhận bảo hiểm hoặc bảo đảm tài chính theo Công ước quốc tế về trách nhiệm dân sự đối với tổn thất ô nhiễm dầu nhiên liệu 2001.</w:t>
      </w:r>
    </w:p>
    <w:p>
      <w:pPr>
        <w:tabs>
          <w:tab w:val="left" w:pos="7305"/>
        </w:tabs>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Thông tư số 28/2019/TT-BGTVT ngày 12/08/2019 của Bộ Giao Thông vận tả</w:t>
      </w:r>
      <w:bookmarkStart w:id="0" w:name="loai_1_name"/>
      <w:r>
        <w:rPr>
          <w:rFonts w:ascii="Times New Roman" w:hAnsi="Times New Roman" w:cs="Times New Roman"/>
          <w:color w:val="000000" w:themeColor="text1"/>
          <w:sz w:val="24"/>
          <w14:textFill>
            <w14:solidFill>
              <w14:schemeClr w14:val="tx1"/>
            </w14:solidFill>
          </w14:textFill>
        </w:rPr>
        <w:t xml:space="preserve">i </w:t>
      </w:r>
      <w:r>
        <w:rPr>
          <w:rFonts w:ascii="Times New Roman" w:hAnsi="Times New Roman" w:cs="Times New Roman"/>
          <w:color w:val="000000" w:themeColor="text1"/>
          <w:sz w:val="24"/>
          <w:szCs w:val="24"/>
          <w:shd w:val="clear" w:color="auto" w:fill="FFFFFF"/>
          <w:lang w:val="vi-VN"/>
          <w14:textFill>
            <w14:solidFill>
              <w14:schemeClr w14:val="tx1"/>
            </w14:solidFill>
          </w14:textFill>
        </w:rPr>
        <w:t>sửa đổi, bổ sung một số điều của thông tư số 46/2011/</w:t>
      </w:r>
      <w:r>
        <w:rPr>
          <w:rFonts w:ascii="Times New Roman" w:hAnsi="Times New Roman" w:cs="Times New Roman"/>
          <w:color w:val="000000" w:themeColor="text1"/>
          <w:sz w:val="24"/>
          <w:szCs w:val="24"/>
          <w:shd w:val="clear" w:color="auto" w:fill="FFFFFF"/>
          <w14:textFill>
            <w14:solidFill>
              <w14:schemeClr w14:val="tx1"/>
            </w14:solidFill>
          </w14:textFill>
        </w:rPr>
        <w:t>TT-BGTVT</w:t>
      </w:r>
      <w:r>
        <w:rPr>
          <w:rFonts w:ascii="Times New Roman" w:hAnsi="Times New Roman" w:cs="Times New Roman"/>
          <w:color w:val="000000" w:themeColor="text1"/>
          <w:sz w:val="24"/>
          <w:szCs w:val="24"/>
          <w:shd w:val="clear" w:color="auto" w:fill="FFFFFF"/>
          <w:lang w:val="vi-VN"/>
          <w14:textFill>
            <w14:solidFill>
              <w14:schemeClr w14:val="tx1"/>
            </w14:solidFill>
          </w14:textFill>
        </w:rPr>
        <w:t xml:space="preserve"> ngày 30 tháng 6 năm 2011 của </w:t>
      </w:r>
      <w:r>
        <w:rPr>
          <w:rFonts w:ascii="Times New Roman" w:hAnsi="Times New Roman" w:cs="Times New Roman"/>
          <w:color w:val="000000" w:themeColor="text1"/>
          <w:sz w:val="24"/>
          <w:szCs w:val="24"/>
          <w:shd w:val="clear" w:color="auto" w:fill="FFFFFF"/>
          <w14:textFill>
            <w14:solidFill>
              <w14:schemeClr w14:val="tx1"/>
            </w14:solidFill>
          </w14:textFill>
        </w:rPr>
        <w:t>B</w:t>
      </w:r>
      <w:r>
        <w:rPr>
          <w:rFonts w:ascii="Times New Roman" w:hAnsi="Times New Roman" w:cs="Times New Roman"/>
          <w:color w:val="000000" w:themeColor="text1"/>
          <w:sz w:val="24"/>
          <w:szCs w:val="24"/>
          <w:shd w:val="clear" w:color="auto" w:fill="FFFFFF"/>
          <w:lang w:val="vi-VN"/>
          <w14:textFill>
            <w14:solidFill>
              <w14:schemeClr w14:val="tx1"/>
            </w14:solidFill>
          </w14:textFill>
        </w:rPr>
        <w:t xml:space="preserve">ộ trưởng </w:t>
      </w:r>
      <w:r>
        <w:rPr>
          <w:rFonts w:ascii="Times New Roman" w:hAnsi="Times New Roman" w:cs="Times New Roman"/>
          <w:color w:val="000000" w:themeColor="text1"/>
          <w:sz w:val="24"/>
          <w:szCs w:val="24"/>
          <w:shd w:val="clear" w:color="auto" w:fill="FFFFFF"/>
          <w14:textFill>
            <w14:solidFill>
              <w14:schemeClr w14:val="tx1"/>
            </w14:solidFill>
          </w14:textFill>
        </w:rPr>
        <w:t>B</w:t>
      </w:r>
      <w:r>
        <w:rPr>
          <w:rFonts w:ascii="Times New Roman" w:hAnsi="Times New Roman" w:cs="Times New Roman"/>
          <w:color w:val="000000" w:themeColor="text1"/>
          <w:sz w:val="24"/>
          <w:szCs w:val="24"/>
          <w:shd w:val="clear" w:color="auto" w:fill="FFFFFF"/>
          <w:lang w:val="vi-VN"/>
          <w14:textFill>
            <w14:solidFill>
              <w14:schemeClr w14:val="tx1"/>
            </w14:solidFill>
          </w14:textFill>
        </w:rPr>
        <w:t xml:space="preserve">ộ </w:t>
      </w:r>
      <w:r>
        <w:rPr>
          <w:rFonts w:ascii="Times New Roman" w:hAnsi="Times New Roman" w:cs="Times New Roman"/>
          <w:color w:val="000000" w:themeColor="text1"/>
          <w:sz w:val="24"/>
          <w:szCs w:val="24"/>
          <w:shd w:val="clear" w:color="auto" w:fill="FFFFFF"/>
          <w14:textFill>
            <w14:solidFill>
              <w14:schemeClr w14:val="tx1"/>
            </w14:solidFill>
          </w14:textFill>
        </w:rPr>
        <w:t>G</w:t>
      </w:r>
      <w:r>
        <w:rPr>
          <w:rFonts w:ascii="Times New Roman" w:hAnsi="Times New Roman" w:cs="Times New Roman"/>
          <w:color w:val="000000" w:themeColor="text1"/>
          <w:sz w:val="24"/>
          <w:szCs w:val="24"/>
          <w:shd w:val="clear" w:color="auto" w:fill="FFFFFF"/>
          <w:lang w:val="vi-VN"/>
          <w14:textFill>
            <w14:solidFill>
              <w14:schemeClr w14:val="tx1"/>
            </w14:solidFill>
          </w14:textFill>
        </w:rPr>
        <w:t>iao thông vận tải quy định về cấp, thu hồi giấy chứng nhận bảo hiểm hoặc đảm bảo tài chính theo công ước quốc tế về trách nhiệm dân sự đối với tổn thất ô nhiễm dầu nhiên liệu năm 2001</w:t>
      </w:r>
      <w:bookmarkEnd w:id="0"/>
      <w:r>
        <w:rPr>
          <w:rFonts w:ascii="Times New Roman" w:hAnsi="Times New Roman" w:cs="Times New Roman"/>
          <w:color w:val="000000" w:themeColor="text1"/>
          <w:sz w:val="24"/>
          <w:szCs w:val="24"/>
          <w:shd w:val="clear" w:color="auto" w:fill="FFFFFF"/>
          <w14:textFill>
            <w14:solidFill>
              <w14:schemeClr w14:val="tx1"/>
            </w14:solidFill>
          </w14:textFill>
        </w:rPr>
        <w:t>.</w:t>
      </w:r>
    </w:p>
    <w:p>
      <w:pPr>
        <w:tabs>
          <w:tab w:val="left" w:pos="4275"/>
        </w:tabs>
        <w:ind w:left="720"/>
        <w:jc w:val="both"/>
        <w:rPr>
          <w:rFonts w:hint="default" w:ascii="Times New Roman" w:hAnsi="Times New Roman" w:cs="Times New Roman"/>
          <w:b/>
          <w:sz w:val="92"/>
          <w:szCs w:val="92"/>
          <w:lang w:val="en-US"/>
        </w:rPr>
      </w:pPr>
      <w:r>
        <w:rPr>
          <w:rFonts w:ascii="Times New Roman" w:hAnsi="Times New Roman" w:cs="Times New Roman"/>
          <w:b/>
          <w:sz w:val="120"/>
          <w:szCs w:val="120"/>
        </w:rPr>
        <w:tab/>
      </w:r>
      <w:r>
        <w:rPr>
          <w:rFonts w:hint="default" w:ascii="Times New Roman" w:hAnsi="Times New Roman" w:cs="Times New Roman"/>
          <w:b/>
          <w:sz w:val="92"/>
          <w:szCs w:val="92"/>
          <w:lang w:val="en-US"/>
        </w:rPr>
        <w:t>10</w:t>
      </w:r>
      <w:bookmarkStart w:id="1" w:name="_GoBack"/>
      <w:bookmarkEnd w:id="1"/>
    </w:p>
    <w:sectPr>
      <w:pgSz w:w="12240" w:h="15840"/>
      <w:pgMar w:top="1418" w:right="1134" w:bottom="1134"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8D"/>
    <w:rsid w:val="00064FC6"/>
    <w:rsid w:val="000D6742"/>
    <w:rsid w:val="000F29F5"/>
    <w:rsid w:val="00176AAC"/>
    <w:rsid w:val="001B3D36"/>
    <w:rsid w:val="0036464B"/>
    <w:rsid w:val="00400B30"/>
    <w:rsid w:val="0056334E"/>
    <w:rsid w:val="006D305D"/>
    <w:rsid w:val="00702E3E"/>
    <w:rsid w:val="007A5F53"/>
    <w:rsid w:val="007F6F38"/>
    <w:rsid w:val="00872F2A"/>
    <w:rsid w:val="008D1D8E"/>
    <w:rsid w:val="00B92F07"/>
    <w:rsid w:val="00CE188D"/>
    <w:rsid w:val="00E90BB6"/>
    <w:rsid w:val="00F04C08"/>
    <w:rsid w:val="00F16C23"/>
    <w:rsid w:val="288D726F"/>
    <w:rsid w:val="4141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Strong"/>
    <w:basedOn w:val="3"/>
    <w:qFormat/>
    <w:uiPriority w:val="22"/>
    <w:rPr>
      <w:b/>
      <w:bCs/>
    </w:rPr>
  </w:style>
  <w:style w:type="paragraph" w:styleId="6">
    <w:name w:val="List Paragraph"/>
    <w:basedOn w:val="1"/>
    <w:qFormat/>
    <w:uiPriority w:val="34"/>
    <w:pPr>
      <w:ind w:left="720"/>
      <w:contextualSpacing/>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Truong</Company>
  <Pages>2</Pages>
  <Words>578</Words>
  <Characters>3298</Characters>
  <Lines>27</Lines>
  <Paragraphs>7</Paragraphs>
  <TotalTime>0</TotalTime>
  <ScaleCrop>false</ScaleCrop>
  <LinksUpToDate>false</LinksUpToDate>
  <CharactersWithSpaces>3869</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2020-10-23T03:20:00Z</dcterms:created>
  <dc:creator>Administrator</dc:creator>
  <cp:lastModifiedBy>google1598498122</cp:lastModifiedBy>
  <dcterms:modified xsi:type="dcterms:W3CDTF">2020-10-28T03:11:59Z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